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0DD24" w14:textId="37C562B4" w:rsidR="00D52BF3" w:rsidRPr="00D52BF3" w:rsidRDefault="00D52BF3" w:rsidP="00D52BF3">
      <w:pPr>
        <w:pStyle w:val="Header"/>
        <w:tabs>
          <w:tab w:val="right" w:pos="8647"/>
        </w:tabs>
        <w:rPr>
          <w:rFonts w:eastAsia="Malgun Gothic"/>
          <w:b/>
          <w:bCs/>
          <w:sz w:val="24"/>
          <w:lang w:val="en-GB" w:eastAsia="ko-KR"/>
        </w:rPr>
      </w:pPr>
      <w:bookmarkStart w:id="0" w:name="OLE_LINK1"/>
      <w:bookmarkStart w:id="1" w:name="OLE_LINK2"/>
      <w:bookmarkStart w:id="2" w:name="_GoBack"/>
      <w:bookmarkEnd w:id="2"/>
      <w:r w:rsidRPr="00D52BF3">
        <w:rPr>
          <w:b/>
          <w:sz w:val="24"/>
          <w:lang w:val="en-GB"/>
        </w:rPr>
        <w:t>3GPP T</w:t>
      </w:r>
      <w:bookmarkStart w:id="3" w:name="_Ref452454252"/>
      <w:bookmarkEnd w:id="3"/>
      <w:r w:rsidRPr="00D52BF3">
        <w:rPr>
          <w:b/>
          <w:sz w:val="24"/>
          <w:lang w:val="en-GB"/>
        </w:rPr>
        <w:t>SG-</w:t>
      </w:r>
      <w:r w:rsidRPr="00D52BF3">
        <w:rPr>
          <w:b/>
          <w:sz w:val="24"/>
          <w:szCs w:val="24"/>
          <w:lang w:val="en-GB"/>
        </w:rPr>
        <w:t>RAN WG</w:t>
      </w:r>
      <w:r w:rsidRPr="00D52BF3">
        <w:rPr>
          <w:rFonts w:eastAsia="Malgun Gothic" w:hint="eastAsia"/>
          <w:b/>
          <w:sz w:val="24"/>
          <w:szCs w:val="24"/>
          <w:lang w:val="en-GB" w:eastAsia="ko-KR"/>
        </w:rPr>
        <w:t>2</w:t>
      </w:r>
      <w:r w:rsidR="00700F24">
        <w:rPr>
          <w:b/>
          <w:sz w:val="24"/>
          <w:szCs w:val="24"/>
          <w:lang w:val="en-GB"/>
        </w:rPr>
        <w:t xml:space="preserve"> #99</w:t>
      </w:r>
      <w:r w:rsidRPr="00D52BF3">
        <w:rPr>
          <w:b/>
          <w:sz w:val="24"/>
          <w:lang w:val="en-GB"/>
        </w:rPr>
        <w:tab/>
        <w:t xml:space="preserve">     </w:t>
      </w:r>
      <w:r w:rsidRPr="00D52BF3">
        <w:rPr>
          <w:b/>
          <w:sz w:val="24"/>
          <w:lang w:val="en-GB"/>
        </w:rPr>
        <w:tab/>
      </w:r>
      <w:r w:rsidR="00C609A1">
        <w:rPr>
          <w:b/>
          <w:sz w:val="24"/>
          <w:lang w:val="en-GB"/>
        </w:rPr>
        <w:tab/>
      </w:r>
      <w:r w:rsidR="003A4F98">
        <w:rPr>
          <w:b/>
          <w:sz w:val="24"/>
          <w:lang w:val="en-GB"/>
        </w:rPr>
        <w:t>R2-1708202</w:t>
      </w:r>
    </w:p>
    <w:p w14:paraId="7E806CA4" w14:textId="5F4B7576" w:rsidR="00D52BF3" w:rsidRPr="00D52BF3" w:rsidRDefault="000E201B" w:rsidP="00D52BF3">
      <w:pPr>
        <w:pStyle w:val="Header"/>
        <w:tabs>
          <w:tab w:val="right" w:pos="9639"/>
        </w:tabs>
        <w:rPr>
          <w:rFonts w:eastAsia="Malgun Gothic"/>
          <w:b/>
          <w:bCs/>
          <w:sz w:val="24"/>
          <w:lang w:eastAsia="ko-KR"/>
        </w:rPr>
      </w:pPr>
      <w:r>
        <w:rPr>
          <w:rFonts w:eastAsia="Malgun Gothic"/>
          <w:b/>
          <w:sz w:val="24"/>
          <w:lang w:eastAsia="ko-KR"/>
        </w:rPr>
        <w:t>Berlin</w:t>
      </w:r>
      <w:r w:rsidR="00D52BF3" w:rsidRPr="00D52BF3">
        <w:rPr>
          <w:rFonts w:eastAsia="Malgun Gothic"/>
          <w:b/>
          <w:sz w:val="24"/>
          <w:lang w:eastAsia="ko-KR"/>
        </w:rPr>
        <w:t xml:space="preserve">, </w:t>
      </w:r>
      <w:r>
        <w:rPr>
          <w:rFonts w:eastAsia="Malgun Gothic"/>
          <w:b/>
          <w:sz w:val="24"/>
          <w:lang w:eastAsia="ko-KR"/>
        </w:rPr>
        <w:t>Germany, 21st – 25th August</w:t>
      </w:r>
      <w:r w:rsidR="00D52BF3" w:rsidRPr="00D52BF3">
        <w:rPr>
          <w:rFonts w:eastAsia="Malgun Gothic"/>
          <w:b/>
          <w:sz w:val="24"/>
          <w:lang w:eastAsia="ko-KR"/>
        </w:rPr>
        <w:t xml:space="preserve"> 2017</w:t>
      </w:r>
    </w:p>
    <w:p w14:paraId="1FD4C31F" w14:textId="77777777" w:rsidR="00D52BF3" w:rsidRPr="00950DB8" w:rsidRDefault="00D52BF3" w:rsidP="00D52BF3">
      <w:pPr>
        <w:pStyle w:val="TdocHeader2"/>
        <w:rPr>
          <w:sz w:val="20"/>
        </w:rPr>
      </w:pPr>
    </w:p>
    <w:p w14:paraId="404E3356" w14:textId="77777777"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13143121" w14:textId="7A413286" w:rsidR="00D52BF3" w:rsidRPr="00B208AD" w:rsidRDefault="00D52BF3" w:rsidP="00700F24">
      <w:pPr>
        <w:pStyle w:val="TdocHeader2"/>
        <w:spacing w:after="120"/>
        <w:rPr>
          <w:sz w:val="24"/>
        </w:rPr>
      </w:pPr>
      <w:r w:rsidRPr="00B208AD">
        <w:rPr>
          <w:sz w:val="24"/>
        </w:rPr>
        <w:t>Title:</w:t>
      </w:r>
      <w:bookmarkStart w:id="4" w:name="Title"/>
      <w:bookmarkEnd w:id="4"/>
      <w:r w:rsidRPr="00B208AD">
        <w:rPr>
          <w:sz w:val="24"/>
        </w:rPr>
        <w:tab/>
      </w:r>
      <w:r w:rsidR="003A4F98">
        <w:rPr>
          <w:sz w:val="24"/>
        </w:rPr>
        <w:t>Capability mechanisms for EN-DC</w:t>
      </w:r>
      <w:r w:rsidR="009D3D65">
        <w:rPr>
          <w:rFonts w:cs="Arial"/>
          <w:b w:val="0"/>
          <w:bCs/>
          <w:sz w:val="32"/>
        </w:rPr>
        <w:t xml:space="preserve"> </w:t>
      </w:r>
    </w:p>
    <w:p w14:paraId="08AD6C06" w14:textId="39799403" w:rsidR="00D52BF3" w:rsidRPr="00B208AD" w:rsidRDefault="00D52BF3" w:rsidP="00700F24">
      <w:pPr>
        <w:pStyle w:val="TdocHeader2"/>
        <w:spacing w:after="120"/>
        <w:rPr>
          <w:sz w:val="24"/>
        </w:rPr>
      </w:pPr>
      <w:r w:rsidRPr="00B208AD">
        <w:rPr>
          <w:sz w:val="24"/>
        </w:rPr>
        <w:t>Agenda Item:</w:t>
      </w:r>
      <w:r w:rsidRPr="00B208AD">
        <w:rPr>
          <w:sz w:val="24"/>
        </w:rPr>
        <w:tab/>
      </w:r>
      <w:r w:rsidRPr="00B208AD">
        <w:rPr>
          <w:bCs/>
          <w:iCs/>
          <w:sz w:val="24"/>
        </w:rPr>
        <w:t>10.</w:t>
      </w:r>
      <w:r w:rsidR="003A4F98">
        <w:rPr>
          <w:bCs/>
          <w:iCs/>
          <w:sz w:val="24"/>
        </w:rPr>
        <w:t>2.6.2</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5FF6C441" w14:textId="0DA38803" w:rsidR="00335B2C" w:rsidRDefault="00335B2C" w:rsidP="00D11AD9">
      <w:pPr>
        <w:rPr>
          <w:lang w:val="en-GB"/>
        </w:rPr>
      </w:pPr>
      <w:r>
        <w:rPr>
          <w:lang w:val="en-GB"/>
        </w:rPr>
        <w:t xml:space="preserve">For MR-DC between LTE and NR, RAN2 has been discussing the issue of </w:t>
      </w:r>
      <w:r w:rsidR="00BA6CF2">
        <w:rPr>
          <w:lang w:val="en-GB"/>
        </w:rPr>
        <w:t xml:space="preserve">baseband </w:t>
      </w:r>
      <w:r>
        <w:rPr>
          <w:lang w:val="en-GB"/>
        </w:rPr>
        <w:t>capability sh</w:t>
      </w:r>
      <w:r w:rsidR="00BA6CF2">
        <w:rPr>
          <w:lang w:val="en-GB"/>
        </w:rPr>
        <w:t xml:space="preserve">aring between LTE and NR. The following agreements </w:t>
      </w:r>
      <w:r w:rsidR="004F5008">
        <w:rPr>
          <w:lang w:val="en-GB"/>
        </w:rPr>
        <w:t xml:space="preserve">related to this </w:t>
      </w:r>
      <w:r w:rsidR="00BA6CF2">
        <w:rPr>
          <w:lang w:val="en-GB"/>
        </w:rPr>
        <w:t>were made in RAN2#AH_NR2:</w:t>
      </w:r>
    </w:p>
    <w:p w14:paraId="5C34D50D" w14:textId="77777777" w:rsidR="00BA6CF2" w:rsidRDefault="00BA6CF2" w:rsidP="00BA6CF2">
      <w:pPr>
        <w:pStyle w:val="Doc-text2"/>
        <w:spacing w:before="40"/>
      </w:pPr>
    </w:p>
    <w:p w14:paraId="71DE2CA9" w14:textId="77777777" w:rsidR="00BA6CF2" w:rsidRDefault="00BA6CF2" w:rsidP="00BA6CF2">
      <w:pPr>
        <w:pStyle w:val="Doc-text2"/>
        <w:pBdr>
          <w:top w:val="single" w:sz="4" w:space="1" w:color="auto"/>
          <w:left w:val="single" w:sz="4" w:space="4" w:color="auto"/>
          <w:bottom w:val="single" w:sz="4" w:space="1" w:color="auto"/>
          <w:right w:val="single" w:sz="4" w:space="4" w:color="auto"/>
        </w:pBdr>
        <w:spacing w:before="40"/>
      </w:pPr>
      <w:r>
        <w:t>Agreements:</w:t>
      </w:r>
    </w:p>
    <w:p w14:paraId="73644089" w14:textId="77777777" w:rsidR="00BA6CF2" w:rsidRDefault="00BA6CF2" w:rsidP="00BA6CF2">
      <w:pPr>
        <w:pStyle w:val="Doc-text2"/>
        <w:pBdr>
          <w:top w:val="single" w:sz="4" w:space="1" w:color="auto"/>
          <w:left w:val="single" w:sz="4" w:space="4" w:color="auto"/>
          <w:bottom w:val="single" w:sz="4" w:space="1" w:color="auto"/>
          <w:right w:val="single" w:sz="4" w:space="4" w:color="auto"/>
        </w:pBdr>
        <w:spacing w:before="40"/>
      </w:pPr>
      <w:r>
        <w:t>1:</w:t>
      </w:r>
      <w:r>
        <w:tab/>
        <w:t>In case of NE-DC, for each NR BC in the UE capabilities at least the possible LTE frequency bands that can operate with this NR BC should be visible to the NR MN.</w:t>
      </w:r>
    </w:p>
    <w:p w14:paraId="680CAC65" w14:textId="77777777" w:rsidR="00BA6CF2" w:rsidRDefault="00BA6CF2" w:rsidP="00BA6CF2">
      <w:pPr>
        <w:pStyle w:val="Doc-text2"/>
        <w:pBdr>
          <w:top w:val="single" w:sz="4" w:space="1" w:color="auto"/>
          <w:left w:val="single" w:sz="4" w:space="4" w:color="auto"/>
          <w:bottom w:val="single" w:sz="4" w:space="1" w:color="auto"/>
          <w:right w:val="single" w:sz="4" w:space="4" w:color="auto"/>
        </w:pBdr>
        <w:spacing w:before="40"/>
      </w:pPr>
      <w:r>
        <w:t>2:</w:t>
      </w:r>
      <w:r>
        <w:tab/>
        <w:t>For MR-DC, capability signalling and coordination will support shared baseband capabilities between LTE and NR. The exact capabilities for coordination should FFS and dependent on RAN1/4 discussion.</w:t>
      </w:r>
    </w:p>
    <w:p w14:paraId="493E9CCC" w14:textId="77777777" w:rsidR="00BA6CF2" w:rsidRDefault="00BA6CF2" w:rsidP="00BA6CF2">
      <w:pPr>
        <w:pStyle w:val="Doc-text2"/>
        <w:pBdr>
          <w:top w:val="single" w:sz="4" w:space="1" w:color="auto"/>
          <w:left w:val="single" w:sz="4" w:space="4" w:color="auto"/>
          <w:bottom w:val="single" w:sz="4" w:space="1" w:color="auto"/>
          <w:right w:val="single" w:sz="4" w:space="4" w:color="auto"/>
        </w:pBdr>
        <w:spacing w:before="40"/>
      </w:pPr>
      <w:r>
        <w:t>3:</w:t>
      </w:r>
      <w:r>
        <w:tab/>
        <w:t>RAN2 continues to work on capability coordination not requiring MN and SN comprehend each other’s UE configuration (e.g. the index based coordination).</w:t>
      </w:r>
    </w:p>
    <w:p w14:paraId="02120C7D" w14:textId="77777777" w:rsidR="00BA6CF2" w:rsidRDefault="00BA6CF2" w:rsidP="00BA6CF2">
      <w:pPr>
        <w:pStyle w:val="Doc-text2"/>
        <w:pBdr>
          <w:top w:val="single" w:sz="4" w:space="1" w:color="auto"/>
          <w:left w:val="single" w:sz="4" w:space="4" w:color="auto"/>
          <w:bottom w:val="single" w:sz="4" w:space="1" w:color="auto"/>
          <w:right w:val="single" w:sz="4" w:space="4" w:color="auto"/>
        </w:pBdr>
        <w:spacing w:before="40"/>
      </w:pPr>
      <w:r>
        <w:t>4:</w:t>
      </w:r>
      <w:r>
        <w:tab/>
        <w:t>For the index-based coordination, the following open issues need to be resolved:</w:t>
      </w:r>
    </w:p>
    <w:p w14:paraId="0975CABD" w14:textId="77777777" w:rsidR="00BA6CF2" w:rsidRDefault="00BA6CF2" w:rsidP="00BA6CF2">
      <w:pPr>
        <w:pStyle w:val="Doc-text2"/>
        <w:pBdr>
          <w:top w:val="single" w:sz="4" w:space="1" w:color="auto"/>
          <w:left w:val="single" w:sz="4" w:space="4" w:color="auto"/>
          <w:bottom w:val="single" w:sz="4" w:space="1" w:color="auto"/>
          <w:right w:val="single" w:sz="4" w:space="4" w:color="auto"/>
        </w:pBdr>
        <w:spacing w:before="40"/>
      </w:pPr>
      <w:r>
        <w:t>-</w:t>
      </w:r>
      <w:r>
        <w:tab/>
        <w:t>How can the LTE/NR MN learn the possible NR/LTE frequency bands that can operate with LTE/NR BC? (e.g. For each index there is a frequency list of the NR/LTE frequency bands that can be understood by the MN, frequency part is visible to both MN and SN)</w:t>
      </w:r>
    </w:p>
    <w:p w14:paraId="06EF7867" w14:textId="77777777" w:rsidR="00BA6CF2" w:rsidRDefault="00BA6CF2" w:rsidP="00BA6CF2">
      <w:pPr>
        <w:pStyle w:val="Doc-text2"/>
        <w:pBdr>
          <w:top w:val="single" w:sz="4" w:space="1" w:color="auto"/>
          <w:left w:val="single" w:sz="4" w:space="4" w:color="auto"/>
          <w:bottom w:val="single" w:sz="4" w:space="1" w:color="auto"/>
          <w:right w:val="single" w:sz="4" w:space="4" w:color="auto"/>
        </w:pBdr>
        <w:spacing w:before="40"/>
      </w:pPr>
      <w:r>
        <w:t>-</w:t>
      </w:r>
      <w:r>
        <w:tab/>
        <w:t>How to address baseband capability dependency between LTE and NR (Proposal 4)? (Depends on outcome of RAN1/4 discussion)</w:t>
      </w:r>
    </w:p>
    <w:p w14:paraId="2BEAB351" w14:textId="77777777" w:rsidR="00BA6CF2" w:rsidRDefault="00BA6CF2" w:rsidP="00BA6CF2">
      <w:pPr>
        <w:pStyle w:val="Doc-text2"/>
        <w:pBdr>
          <w:top w:val="single" w:sz="4" w:space="1" w:color="auto"/>
          <w:left w:val="single" w:sz="4" w:space="4" w:color="auto"/>
          <w:bottom w:val="single" w:sz="4" w:space="1" w:color="auto"/>
          <w:right w:val="single" w:sz="4" w:space="4" w:color="auto"/>
        </w:pBdr>
        <w:spacing w:before="40"/>
      </w:pPr>
      <w:r>
        <w:t>-</w:t>
      </w:r>
      <w:r>
        <w:tab/>
        <w:t>How can the MN/SN decide MCG/SCG configuration if LTE-NR band combination is defined within the same frequency band?</w:t>
      </w:r>
    </w:p>
    <w:p w14:paraId="65EE05F0" w14:textId="77777777" w:rsidR="00BA6CF2" w:rsidRDefault="00BA6CF2" w:rsidP="00BA6CF2">
      <w:pPr>
        <w:pStyle w:val="Doc-text2"/>
        <w:pBdr>
          <w:top w:val="single" w:sz="4" w:space="1" w:color="auto"/>
          <w:left w:val="single" w:sz="4" w:space="4" w:color="auto"/>
          <w:bottom w:val="single" w:sz="4" w:space="1" w:color="auto"/>
          <w:right w:val="single" w:sz="4" w:space="4" w:color="auto"/>
        </w:pBdr>
        <w:spacing w:before="40"/>
      </w:pPr>
      <w:r>
        <w:t>-</w:t>
      </w:r>
      <w:r>
        <w:tab/>
        <w:t>If the above issues cannot be resolved then the fallback will be to use the LTE baseline.</w:t>
      </w:r>
    </w:p>
    <w:p w14:paraId="19AE26A7" w14:textId="4874152F" w:rsidR="00BA6CF2" w:rsidRDefault="00BA6CF2" w:rsidP="00D11AD9">
      <w:pPr>
        <w:rPr>
          <w:lang w:val="en-GB"/>
        </w:rPr>
      </w:pPr>
    </w:p>
    <w:p w14:paraId="45136590" w14:textId="0BF1E377" w:rsidR="00B25F5D" w:rsidRDefault="00BA6CF2" w:rsidP="00B25F5D">
      <w:pPr>
        <w:spacing w:after="120"/>
        <w:rPr>
          <w:lang w:val="en-GB"/>
        </w:rPr>
      </w:pPr>
      <w:r>
        <w:rPr>
          <w:lang w:val="en-GB"/>
        </w:rPr>
        <w:t>Consequently, RAN</w:t>
      </w:r>
      <w:r w:rsidR="00B25F5D">
        <w:rPr>
          <w:lang w:val="en-GB"/>
        </w:rPr>
        <w:t xml:space="preserve">2 issued an LS [1] to RAN4 </w:t>
      </w:r>
      <w:r w:rsidR="004F5008">
        <w:rPr>
          <w:lang w:val="en-GB"/>
        </w:rPr>
        <w:t xml:space="preserve">in RAN2#AH_NR2 </w:t>
      </w:r>
      <w:r w:rsidR="00B25F5D">
        <w:rPr>
          <w:lang w:val="en-GB"/>
        </w:rPr>
        <w:t xml:space="preserve">asking: </w:t>
      </w:r>
    </w:p>
    <w:p w14:paraId="2F5682FE" w14:textId="5E94DDFE" w:rsidR="00470963" w:rsidRPr="00D432F4" w:rsidRDefault="00B25F5D" w:rsidP="00D432F4">
      <w:pPr>
        <w:spacing w:after="120"/>
        <w:rPr>
          <w:rFonts w:ascii="Arial" w:hAnsi="Arial" w:cs="Arial"/>
        </w:rPr>
      </w:pPr>
      <w:r>
        <w:rPr>
          <w:rFonts w:ascii="Arial" w:hAnsi="Arial" w:cs="Arial"/>
        </w:rPr>
        <w:t xml:space="preserve">Q1: In the context of the above discussion, RAN2 would like to know which of the baseband capabilities are shared and split between LTE and NR by eNB/gNB? </w:t>
      </w:r>
    </w:p>
    <w:p w14:paraId="0A76EE29" w14:textId="6BA0C021" w:rsidR="00470963" w:rsidRDefault="004F5008" w:rsidP="00D11AD9">
      <w:pPr>
        <w:rPr>
          <w:lang w:val="en-GB"/>
        </w:rPr>
      </w:pPr>
      <w:r>
        <w:rPr>
          <w:lang w:val="en-GB"/>
        </w:rPr>
        <w:t>T</w:t>
      </w:r>
      <w:r w:rsidR="00B156BA">
        <w:rPr>
          <w:lang w:val="en-GB"/>
        </w:rPr>
        <w:t>his contribution discusses the issue of sharing capabilities between LTE and NR basebands</w:t>
      </w:r>
      <w:r w:rsidR="00B25F5D">
        <w:rPr>
          <w:lang w:val="en-GB"/>
        </w:rPr>
        <w:t>.</w:t>
      </w:r>
    </w:p>
    <w:p w14:paraId="2D4BD9B2" w14:textId="77777777" w:rsidR="001B07D0" w:rsidRDefault="001B07D0" w:rsidP="00D11AD9">
      <w:pPr>
        <w:rPr>
          <w:lang w:val="en-GB"/>
        </w:rPr>
      </w:pPr>
    </w:p>
    <w:p w14:paraId="66EDBC53" w14:textId="2D1708F4" w:rsidR="00BE2BF0" w:rsidRPr="005745E3" w:rsidRDefault="00F85C3A" w:rsidP="00BE2BF0">
      <w:pPr>
        <w:pStyle w:val="Heading1"/>
        <w:rPr>
          <w:rFonts w:eastAsia="Times New Roman"/>
        </w:rPr>
      </w:pPr>
      <w:r>
        <w:t>Capability sharing between LTE and NR basebands</w:t>
      </w:r>
    </w:p>
    <w:p w14:paraId="0E36589E" w14:textId="709182FF" w:rsidR="000B6082" w:rsidRDefault="000B6082" w:rsidP="000B6082">
      <w:r>
        <w:t xml:space="preserve">While it has been agreed in RAN2 that for MR-DC capabilities signaling and coordination will support shared baseband capabilities between LTE and NR, there is still much uncertainty about </w:t>
      </w:r>
      <w:r w:rsidR="001538C7">
        <w:t xml:space="preserve">exactly </w:t>
      </w:r>
      <w:r>
        <w:t xml:space="preserve">which </w:t>
      </w:r>
      <w:r w:rsidR="001538C7">
        <w:t xml:space="preserve">baseband </w:t>
      </w:r>
      <w:r>
        <w:t>capabilities can be shared.</w:t>
      </w:r>
      <w:r w:rsidR="001538C7">
        <w:t xml:space="preserve"> </w:t>
      </w:r>
      <w:r w:rsidR="008C1E1B">
        <w:t xml:space="preserve">The realistic MR-DC deployment is a mixture of mature LTE eNB and initial release of </w:t>
      </w:r>
      <w:r w:rsidR="00FA3D63">
        <w:lastRenderedPageBreak/>
        <w:t>NR gNB</w:t>
      </w:r>
      <w:r w:rsidR="00BA497F">
        <w:t xml:space="preserve"> with very different level of robustness. </w:t>
      </w:r>
      <w:r w:rsidR="00FA3D63">
        <w:t>Baseband capability sharing requires certain level of coordination between eNB and gNB schedulers. And such c</w:t>
      </w:r>
      <w:r w:rsidR="00DF52D1">
        <w:t xml:space="preserve">oordination </w:t>
      </w:r>
      <w:r w:rsidR="00F13013">
        <w:t>may</w:t>
      </w:r>
      <w:r w:rsidR="00DF52D1">
        <w:t xml:space="preserve"> jeopardize the </w:t>
      </w:r>
      <w:r w:rsidR="00FA3D63">
        <w:t>robustness</w:t>
      </w:r>
      <w:r w:rsidR="00F13013">
        <w:t xml:space="preserve"> of </w:t>
      </w:r>
      <w:r w:rsidR="00BA497F">
        <w:t xml:space="preserve">LTE system. </w:t>
      </w:r>
      <w:r w:rsidR="00FA3D63">
        <w:t xml:space="preserve"> </w:t>
      </w:r>
    </w:p>
    <w:p w14:paraId="7D82B6A3" w14:textId="190C2BF0" w:rsidR="001538C7" w:rsidRDefault="001538C7" w:rsidP="000B6082">
      <w:r>
        <w:t xml:space="preserve">Additionally, when </w:t>
      </w:r>
      <w:r w:rsidR="002F6550">
        <w:t>different vendors make LTE and NR basebands</w:t>
      </w:r>
      <w:r>
        <w:t xml:space="preserve">, it is difficult to determine or implement effective sharing of baseband capabilities between LTE and NR. </w:t>
      </w:r>
      <w:r w:rsidR="004F5008">
        <w:t>In such a deployment</w:t>
      </w:r>
      <w:r w:rsidR="002F6550">
        <w:t xml:space="preserve"> environment, designing any shared UE capability reporting between LTE and NR in MR-DC specifications may impose unnecessary uncertainty at the eNB and/or gNB. </w:t>
      </w:r>
    </w:p>
    <w:p w14:paraId="553C8FE0" w14:textId="3E6C2E70" w:rsidR="002F6550" w:rsidRDefault="002F6550" w:rsidP="000B6082">
      <w:r w:rsidRPr="002F6550">
        <w:t xml:space="preserve">Considering </w:t>
      </w:r>
      <w:r>
        <w:t>a realistic deployment environment with different vendors for LTE eNB and NR gNB, it is</w:t>
      </w:r>
      <w:r w:rsidRPr="002F6550">
        <w:t xml:space="preserve"> beneficial to support independent capability information </w:t>
      </w:r>
      <w:r>
        <w:t xml:space="preserve">reporting </w:t>
      </w:r>
      <w:r w:rsidR="00271D7F">
        <w:t xml:space="preserve">for LTE and NR </w:t>
      </w:r>
      <w:r w:rsidRPr="002F6550">
        <w:t>to</w:t>
      </w:r>
      <w:r>
        <w:t xml:space="preserve"> minimiz</w:t>
      </w:r>
      <w:r w:rsidR="00271D7F">
        <w:t>e impact to eNB/gNB</w:t>
      </w:r>
      <w:r w:rsidRPr="002F6550">
        <w:t>.</w:t>
      </w:r>
      <w:r>
        <w:t xml:space="preserve"> This should be the baseline assumption for MR-DC UE capability reporting.</w:t>
      </w:r>
    </w:p>
    <w:p w14:paraId="17717126" w14:textId="77777777" w:rsidR="00E714D6" w:rsidRDefault="00E714D6" w:rsidP="00E714D6">
      <w:pPr>
        <w:rPr>
          <w:b/>
        </w:rPr>
      </w:pPr>
      <w:r>
        <w:rPr>
          <w:b/>
        </w:rPr>
        <w:t xml:space="preserve">Observation 1: Baseband sharing requires coordination between well-developed LTE eNB and developing NR gNB which may jeopardize the robustness of LTE network. </w:t>
      </w:r>
    </w:p>
    <w:p w14:paraId="760E75F3" w14:textId="77777777" w:rsidR="00E714D6" w:rsidRPr="00D432F4" w:rsidRDefault="00E714D6" w:rsidP="00E714D6">
      <w:pPr>
        <w:rPr>
          <w:b/>
        </w:rPr>
      </w:pPr>
      <w:r>
        <w:rPr>
          <w:b/>
        </w:rPr>
        <w:t>Observation 2</w:t>
      </w:r>
      <w:r w:rsidRPr="00D432F4">
        <w:rPr>
          <w:b/>
        </w:rPr>
        <w:t>: In a realistic multi-vendor environment with different vendors for LTE eNB and NR gNB, independent UE capability information reporting for LTE and NR is beneficial to minimize impact to LTE eNB and NR gNB.</w:t>
      </w:r>
    </w:p>
    <w:p w14:paraId="731B6B36" w14:textId="55CDAC41" w:rsidR="00DF1F0D" w:rsidRPr="00D432F4" w:rsidRDefault="00D432F4" w:rsidP="00DF1F0D">
      <w:pPr>
        <w:rPr>
          <w:b/>
        </w:rPr>
      </w:pPr>
      <w:r w:rsidRPr="00D432F4">
        <w:rPr>
          <w:b/>
        </w:rPr>
        <w:t>Proposal 1: Independent baseband capability per RAT for LTE/NR band combinations should be prioritized for 3GPP Release 15</w:t>
      </w:r>
      <w:r>
        <w:rPr>
          <w:b/>
        </w:rPr>
        <w:t>.</w:t>
      </w:r>
    </w:p>
    <w:p w14:paraId="70C82586" w14:textId="6A5BE23B" w:rsidR="008D04DC" w:rsidRDefault="007C3145" w:rsidP="008D04DC">
      <w:pPr>
        <w:pStyle w:val="Heading1"/>
      </w:pPr>
      <w:r>
        <w:t>Conclusion</w:t>
      </w:r>
    </w:p>
    <w:p w14:paraId="6FD79AAD" w14:textId="4BE1EA9F" w:rsidR="00E15D40" w:rsidRDefault="00A7768F" w:rsidP="00D432F4">
      <w:pPr>
        <w:rPr>
          <w:lang w:val="en-GB"/>
        </w:rPr>
      </w:pPr>
      <w:r>
        <w:rPr>
          <w:lang w:val="en-GB"/>
        </w:rPr>
        <w:t xml:space="preserve">In this </w:t>
      </w:r>
      <w:r w:rsidR="00D43FA6">
        <w:rPr>
          <w:lang w:val="en-GB"/>
        </w:rPr>
        <w:t>contribution</w:t>
      </w:r>
      <w:r w:rsidR="002C3411">
        <w:rPr>
          <w:lang w:val="en-GB"/>
        </w:rPr>
        <w:t>,</w:t>
      </w:r>
      <w:r w:rsidR="007539C8" w:rsidRPr="007539C8">
        <w:rPr>
          <w:lang w:val="en-GB"/>
        </w:rPr>
        <w:t xml:space="preserve"> </w:t>
      </w:r>
      <w:r w:rsidR="007539C8">
        <w:rPr>
          <w:lang w:val="en-GB"/>
        </w:rPr>
        <w:t>the issue of sharing capabilities between LTE and NR basebands</w:t>
      </w:r>
      <w:r w:rsidR="00F563FB">
        <w:rPr>
          <w:lang w:val="en-GB"/>
        </w:rPr>
        <w:t xml:space="preserve"> is discussed and the following observation and proposal is offered for consideration</w:t>
      </w:r>
      <w:r w:rsidR="00EF3B5D">
        <w:rPr>
          <w:lang w:val="en-GB"/>
        </w:rPr>
        <w:t>:</w:t>
      </w:r>
    </w:p>
    <w:p w14:paraId="322A369A" w14:textId="77777777" w:rsidR="00E714D6" w:rsidRDefault="00E714D6" w:rsidP="00E714D6">
      <w:pPr>
        <w:rPr>
          <w:b/>
        </w:rPr>
      </w:pPr>
      <w:r>
        <w:rPr>
          <w:b/>
        </w:rPr>
        <w:t xml:space="preserve">Observation 1: Baseband sharing requires coordination between well-developed LTE eNB and developing NR gNB which may jeopardize the robustness of LTE network. </w:t>
      </w:r>
    </w:p>
    <w:p w14:paraId="187D8006" w14:textId="77777777" w:rsidR="00E714D6" w:rsidRPr="00D432F4" w:rsidRDefault="00E714D6" w:rsidP="00E714D6">
      <w:pPr>
        <w:rPr>
          <w:b/>
        </w:rPr>
      </w:pPr>
      <w:r>
        <w:rPr>
          <w:b/>
        </w:rPr>
        <w:t>Observation 2</w:t>
      </w:r>
      <w:r w:rsidRPr="00D432F4">
        <w:rPr>
          <w:b/>
        </w:rPr>
        <w:t>: In a realistic multi-vendor environment with different vendors for LTE eNB and NR gNB, independent UE capability information reporting for LTE and NR is beneficial to minimize impact to LTE eNB and NR gNB.</w:t>
      </w:r>
    </w:p>
    <w:p w14:paraId="337663B8" w14:textId="0359829B" w:rsidR="00D432F4" w:rsidRPr="00D432F4" w:rsidRDefault="00D432F4" w:rsidP="00D432F4">
      <w:pPr>
        <w:rPr>
          <w:b/>
        </w:rPr>
      </w:pPr>
      <w:r w:rsidRPr="00D432F4">
        <w:rPr>
          <w:b/>
        </w:rPr>
        <w:t>Proposal 1: Independent baseband capability per RAT for LTE/NR band combinations should be prioritized for 3GPP Release 15</w:t>
      </w:r>
      <w:r>
        <w:rPr>
          <w:b/>
        </w:rPr>
        <w:t>.</w:t>
      </w:r>
    </w:p>
    <w:p w14:paraId="3BB05F4E" w14:textId="77777777" w:rsidR="00E90F6F" w:rsidRPr="006B13A0" w:rsidRDefault="00E90F6F" w:rsidP="00E90F6F">
      <w:pPr>
        <w:pStyle w:val="Heading1"/>
      </w:pPr>
      <w:r>
        <w:t>Reference</w:t>
      </w:r>
    </w:p>
    <w:p w14:paraId="78450BF9" w14:textId="218DD677" w:rsidR="00E90F6F" w:rsidRDefault="00E90F6F" w:rsidP="00E90F6F">
      <w:pPr>
        <w:pStyle w:val="2222"/>
        <w:numPr>
          <w:ilvl w:val="0"/>
          <w:numId w:val="36"/>
        </w:numPr>
        <w:spacing w:after="120" w:line="288" w:lineRule="auto"/>
        <w:ind w:left="360" w:firstLineChars="0"/>
        <w:rPr>
          <w:rFonts w:cs="Times New Roman"/>
          <w:lang w:eastAsia="ko-KR"/>
        </w:rPr>
      </w:pPr>
      <w:r>
        <w:rPr>
          <w:rFonts w:cs="Times New Roman"/>
          <w:lang w:eastAsia="ko-KR"/>
        </w:rPr>
        <w:t>R2-1707505, LS on shared baseband capabilities for MR-DC, RAN2</w:t>
      </w:r>
    </w:p>
    <w:p w14:paraId="0CD97759" w14:textId="4AF1F6CF" w:rsidR="00AF2C72" w:rsidRPr="00AF2C72" w:rsidRDefault="00AF2C72" w:rsidP="00AF2C72">
      <w:pPr>
        <w:rPr>
          <w:lang w:val="en-GB"/>
        </w:rPr>
      </w:pPr>
    </w:p>
    <w:sectPr w:rsidR="00AF2C72" w:rsidRPr="00AF2C72"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3FE5DC" w14:textId="77777777" w:rsidR="00974D96" w:rsidRDefault="00974D96" w:rsidP="00A03DF3">
      <w:pPr>
        <w:spacing w:after="0"/>
      </w:pPr>
      <w:r>
        <w:separator/>
      </w:r>
    </w:p>
  </w:endnote>
  <w:endnote w:type="continuationSeparator" w:id="0">
    <w:p w14:paraId="75A8F225" w14:textId="77777777" w:rsidR="00974D96" w:rsidRDefault="00974D96"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B99A8" w14:textId="77777777"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107EBD" w:rsidRDefault="00107EBD"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52129" w14:textId="67489835"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B369E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69E0">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28F8BD" w14:textId="77777777" w:rsidR="00974D96" w:rsidRDefault="00974D96" w:rsidP="00A03DF3">
      <w:pPr>
        <w:spacing w:after="0"/>
      </w:pPr>
      <w:r>
        <w:separator/>
      </w:r>
    </w:p>
  </w:footnote>
  <w:footnote w:type="continuationSeparator" w:id="0">
    <w:p w14:paraId="3EDC7D48" w14:textId="77777777" w:rsidR="00974D96" w:rsidRDefault="00974D96"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F86CE" w14:textId="77777777"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D4785A"/>
    <w:multiLevelType w:val="hybridMultilevel"/>
    <w:tmpl w:val="B9FC9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5422144"/>
    <w:multiLevelType w:val="hybridMultilevel"/>
    <w:tmpl w:val="D9182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A86004"/>
    <w:multiLevelType w:val="hybridMultilevel"/>
    <w:tmpl w:val="3D7C4C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A64084"/>
    <w:multiLevelType w:val="hybridMultilevel"/>
    <w:tmpl w:val="E6EED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415FEE"/>
    <w:multiLevelType w:val="hybridMultilevel"/>
    <w:tmpl w:val="CCE4D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B962D8"/>
    <w:multiLevelType w:val="hybridMultilevel"/>
    <w:tmpl w:val="845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CA34303"/>
    <w:multiLevelType w:val="hybridMultilevel"/>
    <w:tmpl w:val="2496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618C5"/>
    <w:multiLevelType w:val="hybridMultilevel"/>
    <w:tmpl w:val="DE0291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3DA0A2F"/>
    <w:multiLevelType w:val="hybridMultilevel"/>
    <w:tmpl w:val="C2B05760"/>
    <w:lvl w:ilvl="0" w:tplc="6C28A352">
      <w:start w:val="1"/>
      <w:numFmt w:val="bullet"/>
      <w:lvlText w:val="•"/>
      <w:lvlJc w:val="left"/>
      <w:pPr>
        <w:tabs>
          <w:tab w:val="num" w:pos="720"/>
        </w:tabs>
        <w:ind w:left="720" w:hanging="360"/>
      </w:pPr>
      <w:rPr>
        <w:rFonts w:ascii="Arial" w:hAnsi="Arial" w:cs="Times New Roman" w:hint="default"/>
      </w:rPr>
    </w:lvl>
    <w:lvl w:ilvl="1" w:tplc="1DB6120C">
      <w:start w:val="1648"/>
      <w:numFmt w:val="bullet"/>
      <w:lvlText w:val="–"/>
      <w:lvlJc w:val="left"/>
      <w:pPr>
        <w:tabs>
          <w:tab w:val="num" w:pos="1440"/>
        </w:tabs>
        <w:ind w:left="1440" w:hanging="360"/>
      </w:pPr>
      <w:rPr>
        <w:rFonts w:ascii="Arial" w:hAnsi="Arial" w:cs="Times New Roman" w:hint="default"/>
      </w:rPr>
    </w:lvl>
    <w:lvl w:ilvl="2" w:tplc="C5FCDFC2">
      <w:start w:val="1648"/>
      <w:numFmt w:val="bullet"/>
      <w:lvlText w:val="•"/>
      <w:lvlJc w:val="left"/>
      <w:pPr>
        <w:tabs>
          <w:tab w:val="num" w:pos="2160"/>
        </w:tabs>
        <w:ind w:left="2160" w:hanging="360"/>
      </w:pPr>
      <w:rPr>
        <w:rFonts w:ascii="Arial" w:hAnsi="Arial" w:cs="Times New Roman" w:hint="default"/>
      </w:rPr>
    </w:lvl>
    <w:lvl w:ilvl="3" w:tplc="A73AECEE">
      <w:start w:val="1648"/>
      <w:numFmt w:val="bullet"/>
      <w:lvlText w:val="–"/>
      <w:lvlJc w:val="left"/>
      <w:pPr>
        <w:tabs>
          <w:tab w:val="num" w:pos="2880"/>
        </w:tabs>
        <w:ind w:left="2880" w:hanging="360"/>
      </w:pPr>
      <w:rPr>
        <w:rFonts w:ascii="Arial" w:hAnsi="Arial" w:cs="Times New Roman" w:hint="default"/>
      </w:rPr>
    </w:lvl>
    <w:lvl w:ilvl="4" w:tplc="1CB4AF50">
      <w:start w:val="1"/>
      <w:numFmt w:val="bullet"/>
      <w:lvlText w:val="•"/>
      <w:lvlJc w:val="left"/>
      <w:pPr>
        <w:tabs>
          <w:tab w:val="num" w:pos="3600"/>
        </w:tabs>
        <w:ind w:left="3600" w:hanging="360"/>
      </w:pPr>
      <w:rPr>
        <w:rFonts w:ascii="Arial" w:hAnsi="Arial" w:cs="Times New Roman" w:hint="default"/>
      </w:rPr>
    </w:lvl>
    <w:lvl w:ilvl="5" w:tplc="059CB318">
      <w:start w:val="1"/>
      <w:numFmt w:val="bullet"/>
      <w:lvlText w:val="•"/>
      <w:lvlJc w:val="left"/>
      <w:pPr>
        <w:tabs>
          <w:tab w:val="num" w:pos="4320"/>
        </w:tabs>
        <w:ind w:left="4320" w:hanging="360"/>
      </w:pPr>
      <w:rPr>
        <w:rFonts w:ascii="Arial" w:hAnsi="Arial" w:cs="Times New Roman" w:hint="default"/>
      </w:rPr>
    </w:lvl>
    <w:lvl w:ilvl="6" w:tplc="0E3ED1E6">
      <w:start w:val="1"/>
      <w:numFmt w:val="bullet"/>
      <w:lvlText w:val="•"/>
      <w:lvlJc w:val="left"/>
      <w:pPr>
        <w:tabs>
          <w:tab w:val="num" w:pos="5040"/>
        </w:tabs>
        <w:ind w:left="5040" w:hanging="360"/>
      </w:pPr>
      <w:rPr>
        <w:rFonts w:ascii="Arial" w:hAnsi="Arial" w:cs="Times New Roman" w:hint="default"/>
      </w:rPr>
    </w:lvl>
    <w:lvl w:ilvl="7" w:tplc="15DE5C2A">
      <w:start w:val="1"/>
      <w:numFmt w:val="bullet"/>
      <w:lvlText w:val="•"/>
      <w:lvlJc w:val="left"/>
      <w:pPr>
        <w:tabs>
          <w:tab w:val="num" w:pos="5760"/>
        </w:tabs>
        <w:ind w:left="5760" w:hanging="360"/>
      </w:pPr>
      <w:rPr>
        <w:rFonts w:ascii="Arial" w:hAnsi="Arial" w:cs="Times New Roman" w:hint="default"/>
      </w:rPr>
    </w:lvl>
    <w:lvl w:ilvl="8" w:tplc="264204F6">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3D34DE"/>
    <w:multiLevelType w:val="hybridMultilevel"/>
    <w:tmpl w:val="8B34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156EAD"/>
    <w:multiLevelType w:val="hybridMultilevel"/>
    <w:tmpl w:val="E4AAF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F62A1B"/>
    <w:multiLevelType w:val="hybridMultilevel"/>
    <w:tmpl w:val="0DA24BE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8"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6477712"/>
    <w:multiLevelType w:val="hybridMultilevel"/>
    <w:tmpl w:val="84428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8A8493F"/>
    <w:multiLevelType w:val="hybridMultilevel"/>
    <w:tmpl w:val="7C5A0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4" w15:restartNumberingAfterBreak="0">
    <w:nsid w:val="735F4C75"/>
    <w:multiLevelType w:val="hybridMultilevel"/>
    <w:tmpl w:val="BB1CB1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6B4CA4"/>
    <w:multiLevelType w:val="hybridMultilevel"/>
    <w:tmpl w:val="AA5C3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7665765"/>
    <w:multiLevelType w:val="hybridMultilevel"/>
    <w:tmpl w:val="019A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F773BB"/>
    <w:multiLevelType w:val="hybridMultilevel"/>
    <w:tmpl w:val="1E6A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8544B3"/>
    <w:multiLevelType w:val="hybridMultilevel"/>
    <w:tmpl w:val="7D36D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3"/>
  </w:num>
  <w:num w:numId="4">
    <w:abstractNumId w:val="5"/>
  </w:num>
  <w:num w:numId="5">
    <w:abstractNumId w:val="12"/>
  </w:num>
  <w:num w:numId="6">
    <w:abstractNumId w:val="7"/>
  </w:num>
  <w:num w:numId="7">
    <w:abstractNumId w:val="39"/>
  </w:num>
  <w:num w:numId="8">
    <w:abstractNumId w:val="22"/>
  </w:num>
  <w:num w:numId="9">
    <w:abstractNumId w:val="32"/>
  </w:num>
  <w:num w:numId="10">
    <w:abstractNumId w:val="3"/>
  </w:num>
  <w:num w:numId="11">
    <w:abstractNumId w:val="9"/>
  </w:num>
  <w:num w:numId="12">
    <w:abstractNumId w:val="31"/>
  </w:num>
  <w:num w:numId="13">
    <w:abstractNumId w:val="11"/>
  </w:num>
  <w:num w:numId="14">
    <w:abstractNumId w:val="18"/>
  </w:num>
  <w:num w:numId="15">
    <w:abstractNumId w:val="20"/>
  </w:num>
  <w:num w:numId="16">
    <w:abstractNumId w:val="33"/>
  </w:num>
  <w:num w:numId="17">
    <w:abstractNumId w:val="37"/>
  </w:num>
  <w:num w:numId="18">
    <w:abstractNumId w:val="1"/>
  </w:num>
  <w:num w:numId="19">
    <w:abstractNumId w:val="4"/>
  </w:num>
  <w:num w:numId="20">
    <w:abstractNumId w:val="30"/>
  </w:num>
  <w:num w:numId="21">
    <w:abstractNumId w:val="16"/>
  </w:num>
  <w:num w:numId="22">
    <w:abstractNumId w:val="19"/>
  </w:num>
  <w:num w:numId="23">
    <w:abstractNumId w:val="28"/>
  </w:num>
  <w:num w:numId="24">
    <w:abstractNumId w:val="24"/>
  </w:num>
  <w:num w:numId="25">
    <w:abstractNumId w:val="15"/>
  </w:num>
  <w:num w:numId="26">
    <w:abstractNumId w:val="38"/>
  </w:num>
  <w:num w:numId="27">
    <w:abstractNumId w:val="8"/>
  </w:num>
  <w:num w:numId="28">
    <w:abstractNumId w:val="36"/>
  </w:num>
  <w:num w:numId="29">
    <w:abstractNumId w:val="29"/>
  </w:num>
  <w:num w:numId="30">
    <w:abstractNumId w:val="6"/>
  </w:num>
  <w:num w:numId="31">
    <w:abstractNumId w:val="25"/>
  </w:num>
  <w:num w:numId="32">
    <w:abstractNumId w:val="26"/>
  </w:num>
  <w:num w:numId="33">
    <w:abstractNumId w:val="35"/>
  </w:num>
  <w:num w:numId="34">
    <w:abstractNumId w:val="34"/>
  </w:num>
  <w:num w:numId="35">
    <w:abstractNumId w:val="10"/>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14"/>
  </w:num>
  <w:num w:numId="39">
    <w:abstractNumId w:val="23"/>
  </w:num>
  <w:num w:numId="40">
    <w:abstractNumId w:val="21"/>
  </w:num>
  <w:num w:numId="41">
    <w:abstractNumId w:val="40"/>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19"/>
  <w:doNotDisplayPageBoundari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FDA"/>
    <w:rsid w:val="00010648"/>
    <w:rsid w:val="00010AD5"/>
    <w:rsid w:val="00011622"/>
    <w:rsid w:val="00011ACA"/>
    <w:rsid w:val="00015895"/>
    <w:rsid w:val="000159A3"/>
    <w:rsid w:val="00016C91"/>
    <w:rsid w:val="00027C22"/>
    <w:rsid w:val="00030C32"/>
    <w:rsid w:val="00030F70"/>
    <w:rsid w:val="00033AB4"/>
    <w:rsid w:val="00035544"/>
    <w:rsid w:val="00036CD9"/>
    <w:rsid w:val="00043BFA"/>
    <w:rsid w:val="0004589F"/>
    <w:rsid w:val="00045CDA"/>
    <w:rsid w:val="00051B99"/>
    <w:rsid w:val="00066211"/>
    <w:rsid w:val="00066D52"/>
    <w:rsid w:val="0007152D"/>
    <w:rsid w:val="000832B2"/>
    <w:rsid w:val="00090F30"/>
    <w:rsid w:val="00091745"/>
    <w:rsid w:val="00092FC7"/>
    <w:rsid w:val="000935E4"/>
    <w:rsid w:val="000954F9"/>
    <w:rsid w:val="000959FE"/>
    <w:rsid w:val="000A1C3B"/>
    <w:rsid w:val="000A3623"/>
    <w:rsid w:val="000A3742"/>
    <w:rsid w:val="000B4387"/>
    <w:rsid w:val="000B6082"/>
    <w:rsid w:val="000C2AB2"/>
    <w:rsid w:val="000C3241"/>
    <w:rsid w:val="000C54D1"/>
    <w:rsid w:val="000C5F30"/>
    <w:rsid w:val="000D0F48"/>
    <w:rsid w:val="000D44F3"/>
    <w:rsid w:val="000D7B19"/>
    <w:rsid w:val="000E201B"/>
    <w:rsid w:val="000E4677"/>
    <w:rsid w:val="000E7D06"/>
    <w:rsid w:val="000F0E8F"/>
    <w:rsid w:val="000F64EA"/>
    <w:rsid w:val="000F70D6"/>
    <w:rsid w:val="001001EF"/>
    <w:rsid w:val="001026C3"/>
    <w:rsid w:val="00104F96"/>
    <w:rsid w:val="00105963"/>
    <w:rsid w:val="00107EBD"/>
    <w:rsid w:val="00112BF4"/>
    <w:rsid w:val="001153C1"/>
    <w:rsid w:val="0011607E"/>
    <w:rsid w:val="00116777"/>
    <w:rsid w:val="00116964"/>
    <w:rsid w:val="001215A0"/>
    <w:rsid w:val="00123BDE"/>
    <w:rsid w:val="001241AA"/>
    <w:rsid w:val="00125BD3"/>
    <w:rsid w:val="001320F1"/>
    <w:rsid w:val="001324C6"/>
    <w:rsid w:val="00134857"/>
    <w:rsid w:val="0013723F"/>
    <w:rsid w:val="001372D8"/>
    <w:rsid w:val="00137A42"/>
    <w:rsid w:val="001402F1"/>
    <w:rsid w:val="00140399"/>
    <w:rsid w:val="001440C3"/>
    <w:rsid w:val="00144A9B"/>
    <w:rsid w:val="001456CE"/>
    <w:rsid w:val="00146787"/>
    <w:rsid w:val="00147AF1"/>
    <w:rsid w:val="0015086A"/>
    <w:rsid w:val="00150F00"/>
    <w:rsid w:val="00152E02"/>
    <w:rsid w:val="001538C7"/>
    <w:rsid w:val="001543A8"/>
    <w:rsid w:val="00157ECF"/>
    <w:rsid w:val="0016463F"/>
    <w:rsid w:val="001735CB"/>
    <w:rsid w:val="00175C50"/>
    <w:rsid w:val="00180BD3"/>
    <w:rsid w:val="00183B2D"/>
    <w:rsid w:val="00184167"/>
    <w:rsid w:val="0019306E"/>
    <w:rsid w:val="001968DB"/>
    <w:rsid w:val="001974D0"/>
    <w:rsid w:val="001A059E"/>
    <w:rsid w:val="001A0BC6"/>
    <w:rsid w:val="001A2D9F"/>
    <w:rsid w:val="001B07D0"/>
    <w:rsid w:val="001B148E"/>
    <w:rsid w:val="001B1ED0"/>
    <w:rsid w:val="001B60A9"/>
    <w:rsid w:val="001B6C4D"/>
    <w:rsid w:val="001C3C25"/>
    <w:rsid w:val="001D502E"/>
    <w:rsid w:val="001D7377"/>
    <w:rsid w:val="001E0FE1"/>
    <w:rsid w:val="001E7A26"/>
    <w:rsid w:val="001F0EBA"/>
    <w:rsid w:val="001F53B7"/>
    <w:rsid w:val="00206D78"/>
    <w:rsid w:val="00206DA2"/>
    <w:rsid w:val="0020778E"/>
    <w:rsid w:val="00207CDD"/>
    <w:rsid w:val="0021091C"/>
    <w:rsid w:val="00211B7F"/>
    <w:rsid w:val="00215D87"/>
    <w:rsid w:val="00221100"/>
    <w:rsid w:val="002215F1"/>
    <w:rsid w:val="0022189F"/>
    <w:rsid w:val="00223388"/>
    <w:rsid w:val="00224D3B"/>
    <w:rsid w:val="00225AA6"/>
    <w:rsid w:val="0023027D"/>
    <w:rsid w:val="002329AE"/>
    <w:rsid w:val="002343BE"/>
    <w:rsid w:val="00235F95"/>
    <w:rsid w:val="00236601"/>
    <w:rsid w:val="00243337"/>
    <w:rsid w:val="00243B4D"/>
    <w:rsid w:val="00245D97"/>
    <w:rsid w:val="0024615B"/>
    <w:rsid w:val="00247ECD"/>
    <w:rsid w:val="00250A2F"/>
    <w:rsid w:val="00250CF1"/>
    <w:rsid w:val="00250D87"/>
    <w:rsid w:val="00251768"/>
    <w:rsid w:val="00252548"/>
    <w:rsid w:val="00253CE0"/>
    <w:rsid w:val="0025521A"/>
    <w:rsid w:val="002632D5"/>
    <w:rsid w:val="002639F5"/>
    <w:rsid w:val="00264F59"/>
    <w:rsid w:val="0026628D"/>
    <w:rsid w:val="002665E9"/>
    <w:rsid w:val="00270E7D"/>
    <w:rsid w:val="00271D7F"/>
    <w:rsid w:val="00273449"/>
    <w:rsid w:val="00273B90"/>
    <w:rsid w:val="0028019D"/>
    <w:rsid w:val="00280D6A"/>
    <w:rsid w:val="00282243"/>
    <w:rsid w:val="002947BA"/>
    <w:rsid w:val="00294E72"/>
    <w:rsid w:val="002A443F"/>
    <w:rsid w:val="002B113B"/>
    <w:rsid w:val="002B26F8"/>
    <w:rsid w:val="002B6ADF"/>
    <w:rsid w:val="002C3411"/>
    <w:rsid w:val="002C49F0"/>
    <w:rsid w:val="002D0E77"/>
    <w:rsid w:val="002D1D49"/>
    <w:rsid w:val="002D566F"/>
    <w:rsid w:val="002D6FB7"/>
    <w:rsid w:val="002E37DE"/>
    <w:rsid w:val="002F1B33"/>
    <w:rsid w:val="002F3FC4"/>
    <w:rsid w:val="002F6550"/>
    <w:rsid w:val="00301F11"/>
    <w:rsid w:val="00303721"/>
    <w:rsid w:val="00304012"/>
    <w:rsid w:val="003041FB"/>
    <w:rsid w:val="00305BD0"/>
    <w:rsid w:val="0031220B"/>
    <w:rsid w:val="00312297"/>
    <w:rsid w:val="00312C37"/>
    <w:rsid w:val="00316619"/>
    <w:rsid w:val="00320BD0"/>
    <w:rsid w:val="00323D1C"/>
    <w:rsid w:val="003246F3"/>
    <w:rsid w:val="003266DD"/>
    <w:rsid w:val="00331DD7"/>
    <w:rsid w:val="00332CC0"/>
    <w:rsid w:val="003336FC"/>
    <w:rsid w:val="003346E4"/>
    <w:rsid w:val="00335B2C"/>
    <w:rsid w:val="00337899"/>
    <w:rsid w:val="00340D03"/>
    <w:rsid w:val="0034274F"/>
    <w:rsid w:val="003547D5"/>
    <w:rsid w:val="003572C1"/>
    <w:rsid w:val="00363E20"/>
    <w:rsid w:val="0036606A"/>
    <w:rsid w:val="0037404F"/>
    <w:rsid w:val="00374EB9"/>
    <w:rsid w:val="00375AB6"/>
    <w:rsid w:val="00376A4C"/>
    <w:rsid w:val="003778D9"/>
    <w:rsid w:val="00382B8E"/>
    <w:rsid w:val="00387A55"/>
    <w:rsid w:val="00390188"/>
    <w:rsid w:val="00393F89"/>
    <w:rsid w:val="0039473D"/>
    <w:rsid w:val="00395A22"/>
    <w:rsid w:val="003A157A"/>
    <w:rsid w:val="003A17F8"/>
    <w:rsid w:val="003A1BE3"/>
    <w:rsid w:val="003A1CDB"/>
    <w:rsid w:val="003A3C47"/>
    <w:rsid w:val="003A4F98"/>
    <w:rsid w:val="003A6195"/>
    <w:rsid w:val="003A78B4"/>
    <w:rsid w:val="003B28E2"/>
    <w:rsid w:val="003B4545"/>
    <w:rsid w:val="003B5826"/>
    <w:rsid w:val="003B5C49"/>
    <w:rsid w:val="003C04C9"/>
    <w:rsid w:val="003C0E79"/>
    <w:rsid w:val="003C34D7"/>
    <w:rsid w:val="003C7444"/>
    <w:rsid w:val="003D1F7D"/>
    <w:rsid w:val="003D41DA"/>
    <w:rsid w:val="003D53F0"/>
    <w:rsid w:val="003D6E67"/>
    <w:rsid w:val="003D7039"/>
    <w:rsid w:val="003E3239"/>
    <w:rsid w:val="003E3522"/>
    <w:rsid w:val="003E7DEE"/>
    <w:rsid w:val="003F18D4"/>
    <w:rsid w:val="003F1A54"/>
    <w:rsid w:val="003F6824"/>
    <w:rsid w:val="003F68FF"/>
    <w:rsid w:val="00401CA4"/>
    <w:rsid w:val="00402754"/>
    <w:rsid w:val="00404B2F"/>
    <w:rsid w:val="00404E7A"/>
    <w:rsid w:val="00411B51"/>
    <w:rsid w:val="0041562C"/>
    <w:rsid w:val="00416848"/>
    <w:rsid w:val="0041687B"/>
    <w:rsid w:val="00417010"/>
    <w:rsid w:val="0041753A"/>
    <w:rsid w:val="00420203"/>
    <w:rsid w:val="00420CB9"/>
    <w:rsid w:val="00422C37"/>
    <w:rsid w:val="004303F8"/>
    <w:rsid w:val="004340D2"/>
    <w:rsid w:val="004344AE"/>
    <w:rsid w:val="00434EBF"/>
    <w:rsid w:val="004377F0"/>
    <w:rsid w:val="0044468E"/>
    <w:rsid w:val="004457B1"/>
    <w:rsid w:val="00451BA0"/>
    <w:rsid w:val="00460FF1"/>
    <w:rsid w:val="00462337"/>
    <w:rsid w:val="00464EBF"/>
    <w:rsid w:val="004678E8"/>
    <w:rsid w:val="00470821"/>
    <w:rsid w:val="00470963"/>
    <w:rsid w:val="00477A4A"/>
    <w:rsid w:val="00484322"/>
    <w:rsid w:val="00491CAF"/>
    <w:rsid w:val="00492AF8"/>
    <w:rsid w:val="004934E6"/>
    <w:rsid w:val="004A5460"/>
    <w:rsid w:val="004A6EA1"/>
    <w:rsid w:val="004A7A57"/>
    <w:rsid w:val="004B1914"/>
    <w:rsid w:val="004B334F"/>
    <w:rsid w:val="004B53E3"/>
    <w:rsid w:val="004B761C"/>
    <w:rsid w:val="004B7973"/>
    <w:rsid w:val="004C01AE"/>
    <w:rsid w:val="004C157C"/>
    <w:rsid w:val="004C5E1C"/>
    <w:rsid w:val="004C6E15"/>
    <w:rsid w:val="004D23C9"/>
    <w:rsid w:val="004D2D73"/>
    <w:rsid w:val="004D4847"/>
    <w:rsid w:val="004E24E6"/>
    <w:rsid w:val="004E2B12"/>
    <w:rsid w:val="004F14EC"/>
    <w:rsid w:val="004F5008"/>
    <w:rsid w:val="005005DC"/>
    <w:rsid w:val="00502F81"/>
    <w:rsid w:val="00507616"/>
    <w:rsid w:val="00512C66"/>
    <w:rsid w:val="005132EB"/>
    <w:rsid w:val="00520D3A"/>
    <w:rsid w:val="00526E57"/>
    <w:rsid w:val="00530A7F"/>
    <w:rsid w:val="00534474"/>
    <w:rsid w:val="00542900"/>
    <w:rsid w:val="00546C64"/>
    <w:rsid w:val="0055311C"/>
    <w:rsid w:val="0055425E"/>
    <w:rsid w:val="00554916"/>
    <w:rsid w:val="00557DD0"/>
    <w:rsid w:val="00557E3C"/>
    <w:rsid w:val="00566D2E"/>
    <w:rsid w:val="005672AD"/>
    <w:rsid w:val="0056776F"/>
    <w:rsid w:val="00572547"/>
    <w:rsid w:val="005745E3"/>
    <w:rsid w:val="00576219"/>
    <w:rsid w:val="00577765"/>
    <w:rsid w:val="0058635D"/>
    <w:rsid w:val="00591605"/>
    <w:rsid w:val="00594E1F"/>
    <w:rsid w:val="00597EAA"/>
    <w:rsid w:val="005A13B6"/>
    <w:rsid w:val="005B4A31"/>
    <w:rsid w:val="005C17F4"/>
    <w:rsid w:val="005C1BF7"/>
    <w:rsid w:val="005C1CAB"/>
    <w:rsid w:val="005C5F6F"/>
    <w:rsid w:val="005D4158"/>
    <w:rsid w:val="005D693B"/>
    <w:rsid w:val="005E495C"/>
    <w:rsid w:val="005E617B"/>
    <w:rsid w:val="005F2BEE"/>
    <w:rsid w:val="005F352C"/>
    <w:rsid w:val="005F49BE"/>
    <w:rsid w:val="005F78B3"/>
    <w:rsid w:val="006126DD"/>
    <w:rsid w:val="00614A69"/>
    <w:rsid w:val="0061677A"/>
    <w:rsid w:val="00620B9B"/>
    <w:rsid w:val="00624938"/>
    <w:rsid w:val="0062730F"/>
    <w:rsid w:val="0062773D"/>
    <w:rsid w:val="00633588"/>
    <w:rsid w:val="00636C9C"/>
    <w:rsid w:val="00637208"/>
    <w:rsid w:val="00640FCE"/>
    <w:rsid w:val="00641160"/>
    <w:rsid w:val="00644658"/>
    <w:rsid w:val="0064482B"/>
    <w:rsid w:val="0064521D"/>
    <w:rsid w:val="00647991"/>
    <w:rsid w:val="00647AC9"/>
    <w:rsid w:val="00652B6D"/>
    <w:rsid w:val="00653B6D"/>
    <w:rsid w:val="0065542A"/>
    <w:rsid w:val="00655A41"/>
    <w:rsid w:val="00655B30"/>
    <w:rsid w:val="0065608D"/>
    <w:rsid w:val="0066172B"/>
    <w:rsid w:val="006625D4"/>
    <w:rsid w:val="00662774"/>
    <w:rsid w:val="0066400C"/>
    <w:rsid w:val="0067232E"/>
    <w:rsid w:val="00676C08"/>
    <w:rsid w:val="006774EA"/>
    <w:rsid w:val="00682E8A"/>
    <w:rsid w:val="00683F52"/>
    <w:rsid w:val="00684402"/>
    <w:rsid w:val="00690ECB"/>
    <w:rsid w:val="00692A94"/>
    <w:rsid w:val="006931F2"/>
    <w:rsid w:val="00697CB2"/>
    <w:rsid w:val="006B13A0"/>
    <w:rsid w:val="006C2DDD"/>
    <w:rsid w:val="006D06BF"/>
    <w:rsid w:val="006D4F51"/>
    <w:rsid w:val="006D71C6"/>
    <w:rsid w:val="006E3876"/>
    <w:rsid w:val="006E5D2D"/>
    <w:rsid w:val="006F1DB7"/>
    <w:rsid w:val="00700F24"/>
    <w:rsid w:val="00701722"/>
    <w:rsid w:val="00701AC6"/>
    <w:rsid w:val="00701D4D"/>
    <w:rsid w:val="007038C7"/>
    <w:rsid w:val="0071017C"/>
    <w:rsid w:val="007133C3"/>
    <w:rsid w:val="007150AB"/>
    <w:rsid w:val="00715ACE"/>
    <w:rsid w:val="00721AED"/>
    <w:rsid w:val="007220D3"/>
    <w:rsid w:val="007224EE"/>
    <w:rsid w:val="00724A2A"/>
    <w:rsid w:val="00726A03"/>
    <w:rsid w:val="007314F6"/>
    <w:rsid w:val="007363D1"/>
    <w:rsid w:val="00737AE7"/>
    <w:rsid w:val="00744101"/>
    <w:rsid w:val="007450E7"/>
    <w:rsid w:val="007523CE"/>
    <w:rsid w:val="007539C8"/>
    <w:rsid w:val="00756B03"/>
    <w:rsid w:val="00757F6F"/>
    <w:rsid w:val="007609D8"/>
    <w:rsid w:val="0076148F"/>
    <w:rsid w:val="00761948"/>
    <w:rsid w:val="0076369B"/>
    <w:rsid w:val="0076536B"/>
    <w:rsid w:val="00765500"/>
    <w:rsid w:val="00766634"/>
    <w:rsid w:val="00767F04"/>
    <w:rsid w:val="007712A1"/>
    <w:rsid w:val="0077540B"/>
    <w:rsid w:val="00775CDB"/>
    <w:rsid w:val="00777489"/>
    <w:rsid w:val="00780F90"/>
    <w:rsid w:val="007842E3"/>
    <w:rsid w:val="00785FC0"/>
    <w:rsid w:val="00787355"/>
    <w:rsid w:val="00787DC9"/>
    <w:rsid w:val="007933F1"/>
    <w:rsid w:val="00794BEE"/>
    <w:rsid w:val="00795D96"/>
    <w:rsid w:val="007A4702"/>
    <w:rsid w:val="007A4AB5"/>
    <w:rsid w:val="007A5A73"/>
    <w:rsid w:val="007B0698"/>
    <w:rsid w:val="007B1EF8"/>
    <w:rsid w:val="007B3085"/>
    <w:rsid w:val="007B3DE9"/>
    <w:rsid w:val="007B4487"/>
    <w:rsid w:val="007B4F78"/>
    <w:rsid w:val="007B6396"/>
    <w:rsid w:val="007B6A8C"/>
    <w:rsid w:val="007B6F7A"/>
    <w:rsid w:val="007B777E"/>
    <w:rsid w:val="007C02F6"/>
    <w:rsid w:val="007C3145"/>
    <w:rsid w:val="007C3B30"/>
    <w:rsid w:val="007D025A"/>
    <w:rsid w:val="007D37A6"/>
    <w:rsid w:val="007D4364"/>
    <w:rsid w:val="007D4EF8"/>
    <w:rsid w:val="007D7058"/>
    <w:rsid w:val="007E1361"/>
    <w:rsid w:val="007E3019"/>
    <w:rsid w:val="007E31D6"/>
    <w:rsid w:val="007E403A"/>
    <w:rsid w:val="007E466A"/>
    <w:rsid w:val="007E5AFA"/>
    <w:rsid w:val="007E67DA"/>
    <w:rsid w:val="007F08CC"/>
    <w:rsid w:val="007F1518"/>
    <w:rsid w:val="007F622A"/>
    <w:rsid w:val="00805CD7"/>
    <w:rsid w:val="00806F34"/>
    <w:rsid w:val="00811A50"/>
    <w:rsid w:val="008124BF"/>
    <w:rsid w:val="008169EA"/>
    <w:rsid w:val="00816FB9"/>
    <w:rsid w:val="00817943"/>
    <w:rsid w:val="00820419"/>
    <w:rsid w:val="008236D0"/>
    <w:rsid w:val="008255CA"/>
    <w:rsid w:val="00825EC8"/>
    <w:rsid w:val="008307E3"/>
    <w:rsid w:val="00832D6D"/>
    <w:rsid w:val="00833299"/>
    <w:rsid w:val="00835340"/>
    <w:rsid w:val="00841D9F"/>
    <w:rsid w:val="00842CAE"/>
    <w:rsid w:val="008443CC"/>
    <w:rsid w:val="00846200"/>
    <w:rsid w:val="00847215"/>
    <w:rsid w:val="0085091F"/>
    <w:rsid w:val="00853B77"/>
    <w:rsid w:val="0086141D"/>
    <w:rsid w:val="008640DB"/>
    <w:rsid w:val="008645B9"/>
    <w:rsid w:val="00872C91"/>
    <w:rsid w:val="0088025E"/>
    <w:rsid w:val="0088342F"/>
    <w:rsid w:val="00884757"/>
    <w:rsid w:val="008866D5"/>
    <w:rsid w:val="00886C69"/>
    <w:rsid w:val="00890D31"/>
    <w:rsid w:val="00896357"/>
    <w:rsid w:val="00896ED9"/>
    <w:rsid w:val="008A0593"/>
    <w:rsid w:val="008A1B5D"/>
    <w:rsid w:val="008A5CC4"/>
    <w:rsid w:val="008A7C64"/>
    <w:rsid w:val="008B2785"/>
    <w:rsid w:val="008B3683"/>
    <w:rsid w:val="008B4956"/>
    <w:rsid w:val="008C1E1B"/>
    <w:rsid w:val="008C7323"/>
    <w:rsid w:val="008D04DC"/>
    <w:rsid w:val="008D098B"/>
    <w:rsid w:val="008D2A8E"/>
    <w:rsid w:val="008D5128"/>
    <w:rsid w:val="008D5CBA"/>
    <w:rsid w:val="008E1849"/>
    <w:rsid w:val="008E332B"/>
    <w:rsid w:val="008E4630"/>
    <w:rsid w:val="008E4A25"/>
    <w:rsid w:val="008E5AEC"/>
    <w:rsid w:val="008F1068"/>
    <w:rsid w:val="008F4B86"/>
    <w:rsid w:val="009031D6"/>
    <w:rsid w:val="009060A4"/>
    <w:rsid w:val="00906F42"/>
    <w:rsid w:val="00907FBE"/>
    <w:rsid w:val="00913445"/>
    <w:rsid w:val="009153CC"/>
    <w:rsid w:val="0092002C"/>
    <w:rsid w:val="00920EB9"/>
    <w:rsid w:val="00922DB8"/>
    <w:rsid w:val="00922FFE"/>
    <w:rsid w:val="0093256C"/>
    <w:rsid w:val="00932A0E"/>
    <w:rsid w:val="00932E94"/>
    <w:rsid w:val="00935907"/>
    <w:rsid w:val="0093628F"/>
    <w:rsid w:val="00940F70"/>
    <w:rsid w:val="00952338"/>
    <w:rsid w:val="0095273F"/>
    <w:rsid w:val="009535EE"/>
    <w:rsid w:val="00956E72"/>
    <w:rsid w:val="00957370"/>
    <w:rsid w:val="00961690"/>
    <w:rsid w:val="0097289C"/>
    <w:rsid w:val="009739C0"/>
    <w:rsid w:val="00974D96"/>
    <w:rsid w:val="00982817"/>
    <w:rsid w:val="009867D6"/>
    <w:rsid w:val="00986E49"/>
    <w:rsid w:val="00990685"/>
    <w:rsid w:val="00990A43"/>
    <w:rsid w:val="009A0E1B"/>
    <w:rsid w:val="009A3908"/>
    <w:rsid w:val="009A5C07"/>
    <w:rsid w:val="009B34F4"/>
    <w:rsid w:val="009B3CC5"/>
    <w:rsid w:val="009B6715"/>
    <w:rsid w:val="009C4798"/>
    <w:rsid w:val="009C7667"/>
    <w:rsid w:val="009C7C90"/>
    <w:rsid w:val="009D3D65"/>
    <w:rsid w:val="009E3171"/>
    <w:rsid w:val="009E6668"/>
    <w:rsid w:val="009E7909"/>
    <w:rsid w:val="009F225B"/>
    <w:rsid w:val="009F4239"/>
    <w:rsid w:val="009F6A8B"/>
    <w:rsid w:val="00A03B18"/>
    <w:rsid w:val="00A03DF3"/>
    <w:rsid w:val="00A126DF"/>
    <w:rsid w:val="00A17E1C"/>
    <w:rsid w:val="00A22287"/>
    <w:rsid w:val="00A24FFD"/>
    <w:rsid w:val="00A27BFE"/>
    <w:rsid w:val="00A35A20"/>
    <w:rsid w:val="00A36F7A"/>
    <w:rsid w:val="00A40933"/>
    <w:rsid w:val="00A42970"/>
    <w:rsid w:val="00A442F2"/>
    <w:rsid w:val="00A45CAD"/>
    <w:rsid w:val="00A462B3"/>
    <w:rsid w:val="00A46A74"/>
    <w:rsid w:val="00A46AA0"/>
    <w:rsid w:val="00A548DB"/>
    <w:rsid w:val="00A57130"/>
    <w:rsid w:val="00A62AF6"/>
    <w:rsid w:val="00A62EBB"/>
    <w:rsid w:val="00A63D5B"/>
    <w:rsid w:val="00A63F79"/>
    <w:rsid w:val="00A65BAB"/>
    <w:rsid w:val="00A706A9"/>
    <w:rsid w:val="00A75D64"/>
    <w:rsid w:val="00A77589"/>
    <w:rsid w:val="00A7768F"/>
    <w:rsid w:val="00A8073B"/>
    <w:rsid w:val="00A96350"/>
    <w:rsid w:val="00AA02EB"/>
    <w:rsid w:val="00AA3049"/>
    <w:rsid w:val="00AA5ED1"/>
    <w:rsid w:val="00AA7889"/>
    <w:rsid w:val="00AB2709"/>
    <w:rsid w:val="00AB595D"/>
    <w:rsid w:val="00AD476B"/>
    <w:rsid w:val="00AE1C31"/>
    <w:rsid w:val="00AE2549"/>
    <w:rsid w:val="00AE5E33"/>
    <w:rsid w:val="00AE6679"/>
    <w:rsid w:val="00AE7311"/>
    <w:rsid w:val="00AF2C72"/>
    <w:rsid w:val="00AF32DD"/>
    <w:rsid w:val="00AF4E20"/>
    <w:rsid w:val="00B0220C"/>
    <w:rsid w:val="00B10448"/>
    <w:rsid w:val="00B156BA"/>
    <w:rsid w:val="00B1573B"/>
    <w:rsid w:val="00B15EE5"/>
    <w:rsid w:val="00B161CA"/>
    <w:rsid w:val="00B16D19"/>
    <w:rsid w:val="00B208AD"/>
    <w:rsid w:val="00B21435"/>
    <w:rsid w:val="00B25548"/>
    <w:rsid w:val="00B25F5D"/>
    <w:rsid w:val="00B2760E"/>
    <w:rsid w:val="00B27AF1"/>
    <w:rsid w:val="00B342FC"/>
    <w:rsid w:val="00B34E93"/>
    <w:rsid w:val="00B35115"/>
    <w:rsid w:val="00B35D09"/>
    <w:rsid w:val="00B369E0"/>
    <w:rsid w:val="00B4399E"/>
    <w:rsid w:val="00B43D45"/>
    <w:rsid w:val="00B50BAC"/>
    <w:rsid w:val="00B52858"/>
    <w:rsid w:val="00B52CA9"/>
    <w:rsid w:val="00B54124"/>
    <w:rsid w:val="00B56C15"/>
    <w:rsid w:val="00B625A0"/>
    <w:rsid w:val="00B635F9"/>
    <w:rsid w:val="00B64959"/>
    <w:rsid w:val="00B7005D"/>
    <w:rsid w:val="00B70845"/>
    <w:rsid w:val="00B71769"/>
    <w:rsid w:val="00B75BAE"/>
    <w:rsid w:val="00B8083F"/>
    <w:rsid w:val="00B86C48"/>
    <w:rsid w:val="00B86D5E"/>
    <w:rsid w:val="00B86DDF"/>
    <w:rsid w:val="00B92C1A"/>
    <w:rsid w:val="00B940DF"/>
    <w:rsid w:val="00BA497F"/>
    <w:rsid w:val="00BA6439"/>
    <w:rsid w:val="00BA6CF2"/>
    <w:rsid w:val="00BB7132"/>
    <w:rsid w:val="00BC2552"/>
    <w:rsid w:val="00BC622B"/>
    <w:rsid w:val="00BC6517"/>
    <w:rsid w:val="00BC66E7"/>
    <w:rsid w:val="00BC7F02"/>
    <w:rsid w:val="00BD2690"/>
    <w:rsid w:val="00BD4314"/>
    <w:rsid w:val="00BD5423"/>
    <w:rsid w:val="00BE119E"/>
    <w:rsid w:val="00BE2BF0"/>
    <w:rsid w:val="00BE4FED"/>
    <w:rsid w:val="00BF3706"/>
    <w:rsid w:val="00C01E2B"/>
    <w:rsid w:val="00C03938"/>
    <w:rsid w:val="00C03AC6"/>
    <w:rsid w:val="00C041A2"/>
    <w:rsid w:val="00C10662"/>
    <w:rsid w:val="00C13584"/>
    <w:rsid w:val="00C13C76"/>
    <w:rsid w:val="00C15431"/>
    <w:rsid w:val="00C20564"/>
    <w:rsid w:val="00C22111"/>
    <w:rsid w:val="00C23C35"/>
    <w:rsid w:val="00C24250"/>
    <w:rsid w:val="00C2535E"/>
    <w:rsid w:val="00C26A7D"/>
    <w:rsid w:val="00C26EEA"/>
    <w:rsid w:val="00C30AC5"/>
    <w:rsid w:val="00C31268"/>
    <w:rsid w:val="00C3611F"/>
    <w:rsid w:val="00C366CB"/>
    <w:rsid w:val="00C414EE"/>
    <w:rsid w:val="00C50D06"/>
    <w:rsid w:val="00C50F1D"/>
    <w:rsid w:val="00C532A5"/>
    <w:rsid w:val="00C542D0"/>
    <w:rsid w:val="00C609A1"/>
    <w:rsid w:val="00C63851"/>
    <w:rsid w:val="00C63E31"/>
    <w:rsid w:val="00C66201"/>
    <w:rsid w:val="00C74074"/>
    <w:rsid w:val="00C76A03"/>
    <w:rsid w:val="00C7787C"/>
    <w:rsid w:val="00C8028F"/>
    <w:rsid w:val="00C815AD"/>
    <w:rsid w:val="00C83F75"/>
    <w:rsid w:val="00C85E94"/>
    <w:rsid w:val="00C871CD"/>
    <w:rsid w:val="00C90121"/>
    <w:rsid w:val="00C92614"/>
    <w:rsid w:val="00C939F2"/>
    <w:rsid w:val="00CA6F59"/>
    <w:rsid w:val="00CB03E0"/>
    <w:rsid w:val="00CB23CE"/>
    <w:rsid w:val="00CB2E0F"/>
    <w:rsid w:val="00CB5708"/>
    <w:rsid w:val="00CB5975"/>
    <w:rsid w:val="00CB5E6A"/>
    <w:rsid w:val="00CB6157"/>
    <w:rsid w:val="00CC064F"/>
    <w:rsid w:val="00CC08B7"/>
    <w:rsid w:val="00CC2B86"/>
    <w:rsid w:val="00CC43DA"/>
    <w:rsid w:val="00CC4B9E"/>
    <w:rsid w:val="00CD2E61"/>
    <w:rsid w:val="00CD4BDE"/>
    <w:rsid w:val="00CD7E91"/>
    <w:rsid w:val="00CE0576"/>
    <w:rsid w:val="00CE5D77"/>
    <w:rsid w:val="00CF1C52"/>
    <w:rsid w:val="00CF2D90"/>
    <w:rsid w:val="00CF3E9E"/>
    <w:rsid w:val="00CF4464"/>
    <w:rsid w:val="00CF51E5"/>
    <w:rsid w:val="00D01615"/>
    <w:rsid w:val="00D07A78"/>
    <w:rsid w:val="00D1087A"/>
    <w:rsid w:val="00D11AD9"/>
    <w:rsid w:val="00D11E75"/>
    <w:rsid w:val="00D21F62"/>
    <w:rsid w:val="00D25618"/>
    <w:rsid w:val="00D2655C"/>
    <w:rsid w:val="00D319AA"/>
    <w:rsid w:val="00D32790"/>
    <w:rsid w:val="00D4112D"/>
    <w:rsid w:val="00D42A35"/>
    <w:rsid w:val="00D42EA8"/>
    <w:rsid w:val="00D432F4"/>
    <w:rsid w:val="00D43FA6"/>
    <w:rsid w:val="00D44176"/>
    <w:rsid w:val="00D45806"/>
    <w:rsid w:val="00D50179"/>
    <w:rsid w:val="00D52BF3"/>
    <w:rsid w:val="00D53550"/>
    <w:rsid w:val="00D53C2F"/>
    <w:rsid w:val="00D56CE1"/>
    <w:rsid w:val="00D6196D"/>
    <w:rsid w:val="00D62193"/>
    <w:rsid w:val="00D679A2"/>
    <w:rsid w:val="00D70BDF"/>
    <w:rsid w:val="00D757D5"/>
    <w:rsid w:val="00D75F19"/>
    <w:rsid w:val="00D844CD"/>
    <w:rsid w:val="00D86C0A"/>
    <w:rsid w:val="00D86CDE"/>
    <w:rsid w:val="00D91B82"/>
    <w:rsid w:val="00D923F2"/>
    <w:rsid w:val="00DA1B9A"/>
    <w:rsid w:val="00DA60BB"/>
    <w:rsid w:val="00DA7B6D"/>
    <w:rsid w:val="00DB32D0"/>
    <w:rsid w:val="00DB7753"/>
    <w:rsid w:val="00DC69F1"/>
    <w:rsid w:val="00DE093B"/>
    <w:rsid w:val="00DE4BE7"/>
    <w:rsid w:val="00DE5572"/>
    <w:rsid w:val="00DE63D2"/>
    <w:rsid w:val="00DE796D"/>
    <w:rsid w:val="00DF1F0D"/>
    <w:rsid w:val="00DF364B"/>
    <w:rsid w:val="00DF52D1"/>
    <w:rsid w:val="00E00EE7"/>
    <w:rsid w:val="00E030D4"/>
    <w:rsid w:val="00E05B6D"/>
    <w:rsid w:val="00E07DBF"/>
    <w:rsid w:val="00E116C9"/>
    <w:rsid w:val="00E15D40"/>
    <w:rsid w:val="00E1663F"/>
    <w:rsid w:val="00E16740"/>
    <w:rsid w:val="00E228F6"/>
    <w:rsid w:val="00E23345"/>
    <w:rsid w:val="00E278E8"/>
    <w:rsid w:val="00E332EB"/>
    <w:rsid w:val="00E372EA"/>
    <w:rsid w:val="00E42515"/>
    <w:rsid w:val="00E44770"/>
    <w:rsid w:val="00E513A1"/>
    <w:rsid w:val="00E522FE"/>
    <w:rsid w:val="00E543B1"/>
    <w:rsid w:val="00E57FF6"/>
    <w:rsid w:val="00E6533C"/>
    <w:rsid w:val="00E6667E"/>
    <w:rsid w:val="00E714D6"/>
    <w:rsid w:val="00E72CE0"/>
    <w:rsid w:val="00E77AC4"/>
    <w:rsid w:val="00E77F83"/>
    <w:rsid w:val="00E80422"/>
    <w:rsid w:val="00E8069D"/>
    <w:rsid w:val="00E82924"/>
    <w:rsid w:val="00E83A3A"/>
    <w:rsid w:val="00E90F6F"/>
    <w:rsid w:val="00E9695C"/>
    <w:rsid w:val="00E9755B"/>
    <w:rsid w:val="00EA4F7C"/>
    <w:rsid w:val="00EB3933"/>
    <w:rsid w:val="00EB3C1A"/>
    <w:rsid w:val="00EB3E74"/>
    <w:rsid w:val="00EB6F52"/>
    <w:rsid w:val="00EC0809"/>
    <w:rsid w:val="00EC4C97"/>
    <w:rsid w:val="00EC4E5C"/>
    <w:rsid w:val="00ED0713"/>
    <w:rsid w:val="00ED0E87"/>
    <w:rsid w:val="00ED7BDC"/>
    <w:rsid w:val="00ED7F87"/>
    <w:rsid w:val="00EE3605"/>
    <w:rsid w:val="00EE5365"/>
    <w:rsid w:val="00EE69AF"/>
    <w:rsid w:val="00EE6EFD"/>
    <w:rsid w:val="00EE70BB"/>
    <w:rsid w:val="00EF1A68"/>
    <w:rsid w:val="00EF3B5D"/>
    <w:rsid w:val="00EF403E"/>
    <w:rsid w:val="00EF4AB2"/>
    <w:rsid w:val="00EF6701"/>
    <w:rsid w:val="00F032FE"/>
    <w:rsid w:val="00F03394"/>
    <w:rsid w:val="00F120E1"/>
    <w:rsid w:val="00F13013"/>
    <w:rsid w:val="00F13188"/>
    <w:rsid w:val="00F13661"/>
    <w:rsid w:val="00F15B55"/>
    <w:rsid w:val="00F176BB"/>
    <w:rsid w:val="00F23797"/>
    <w:rsid w:val="00F249A4"/>
    <w:rsid w:val="00F307ED"/>
    <w:rsid w:val="00F31548"/>
    <w:rsid w:val="00F33E4A"/>
    <w:rsid w:val="00F35B9A"/>
    <w:rsid w:val="00F35C83"/>
    <w:rsid w:val="00F36E52"/>
    <w:rsid w:val="00F42D8E"/>
    <w:rsid w:val="00F46DA6"/>
    <w:rsid w:val="00F51112"/>
    <w:rsid w:val="00F558E7"/>
    <w:rsid w:val="00F563FB"/>
    <w:rsid w:val="00F62D70"/>
    <w:rsid w:val="00F670FA"/>
    <w:rsid w:val="00F67A74"/>
    <w:rsid w:val="00F71D1D"/>
    <w:rsid w:val="00F8398C"/>
    <w:rsid w:val="00F85C3A"/>
    <w:rsid w:val="00F92065"/>
    <w:rsid w:val="00F93A5B"/>
    <w:rsid w:val="00F93AB4"/>
    <w:rsid w:val="00F93C84"/>
    <w:rsid w:val="00FA3D63"/>
    <w:rsid w:val="00FA4EF9"/>
    <w:rsid w:val="00FB061C"/>
    <w:rsid w:val="00FB10A8"/>
    <w:rsid w:val="00FB1B76"/>
    <w:rsid w:val="00FB1D13"/>
    <w:rsid w:val="00FB3296"/>
    <w:rsid w:val="00FB3504"/>
    <w:rsid w:val="00FB5080"/>
    <w:rsid w:val="00FC3430"/>
    <w:rsid w:val="00FC5AE2"/>
    <w:rsid w:val="00FD5CB6"/>
    <w:rsid w:val="00FD6E38"/>
    <w:rsid w:val="00FE5061"/>
    <w:rsid w:val="00FF1A08"/>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cs="Times New Roman"/>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166936852">
      <w:bodyDiv w:val="1"/>
      <w:marLeft w:val="0"/>
      <w:marRight w:val="0"/>
      <w:marTop w:val="0"/>
      <w:marBottom w:val="0"/>
      <w:divBdr>
        <w:top w:val="none" w:sz="0" w:space="0" w:color="auto"/>
        <w:left w:val="none" w:sz="0" w:space="0" w:color="auto"/>
        <w:bottom w:val="none" w:sz="0" w:space="0" w:color="auto"/>
        <w:right w:val="none" w:sz="0" w:space="0" w:color="auto"/>
      </w:divBdr>
    </w:div>
    <w:div w:id="1472363136">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AA77D-7CD7-45F9-BE8C-7D76E5422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1</Pages>
  <Words>656</Words>
  <Characters>3740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Xiaoyi Wang</dc:creator>
  <cp:keywords/>
  <dc:description/>
  <cp:lastModifiedBy>Majmundar, Milap</cp:lastModifiedBy>
  <cp:revision>24</cp:revision>
  <dcterms:created xsi:type="dcterms:W3CDTF">2017-08-10T20:41:00Z</dcterms:created>
  <dcterms:modified xsi:type="dcterms:W3CDTF">2017-08-11T19:29:00Z</dcterms:modified>
</cp:coreProperties>
</file>